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500" w:val="left" w:leader="none"/>
        </w:tabs>
        <w:spacing w:line="576" w:lineRule="exact" w:before="55" w:after="0"/>
        <w:ind w:left="499" w:right="0" w:hanging="386"/>
        <w:jc w:val="left"/>
        <w:rPr>
          <w:b/>
          <w:sz w:val="32"/>
        </w:rPr>
      </w:pPr>
      <w:r>
        <w:rPr>
          <w:b/>
          <w:color w:val="E10513"/>
          <w:w w:val="105"/>
          <w:sz w:val="32"/>
        </w:rPr>
        <w:t>.Il</w:t>
      </w:r>
    </w:p>
    <w:p>
      <w:pPr>
        <w:spacing w:line="231" w:lineRule="exact" w:before="0"/>
        <w:ind w:left="126" w:right="0" w:firstLine="0"/>
        <w:jc w:val="left"/>
        <w:rPr>
          <w:b/>
          <w:sz w:val="24"/>
        </w:rPr>
      </w:pPr>
      <w:r>
        <w:rPr>
          <w:b/>
          <w:w w:val="105"/>
          <w:sz w:val="24"/>
        </w:rPr>
        <w:t>GOUVERNEMENT</w:t>
      </w:r>
    </w:p>
    <w:p>
      <w:pPr>
        <w:spacing w:line="170" w:lineRule="exact" w:before="35"/>
        <w:ind w:left="162" w:right="0" w:firstLine="0"/>
        <w:jc w:val="left"/>
        <w:rPr>
          <w:rFonts w:ascii="Times New Roman" w:hAnsi="Times New Roman"/>
          <w:i/>
          <w:sz w:val="15"/>
        </w:rPr>
      </w:pPr>
      <w:r>
        <w:rPr>
          <w:rFonts w:ascii="Times New Roman" w:hAnsi="Times New Roman"/>
          <w:i/>
          <w:color w:val="2F2F2F"/>
          <w:sz w:val="15"/>
        </w:rPr>
        <w:t>Liberté</w:t>
      </w:r>
    </w:p>
    <w:p>
      <w:pPr>
        <w:spacing w:line="158" w:lineRule="exact" w:before="0"/>
        <w:ind w:left="160" w:right="0" w:firstLine="0"/>
        <w:jc w:val="left"/>
        <w:rPr>
          <w:rFonts w:ascii="Times New Roman" w:hAnsi="Times New Roman"/>
          <w:i/>
          <w:sz w:val="14"/>
        </w:rPr>
      </w:pPr>
      <w:r>
        <w:rPr>
          <w:rFonts w:ascii="Times New Roman" w:hAnsi="Times New Roman"/>
          <w:i/>
          <w:color w:val="2F2F2F"/>
          <w:w w:val="105"/>
          <w:sz w:val="14"/>
        </w:rPr>
        <w:t>Égalité</w:t>
      </w:r>
    </w:p>
    <w:p>
      <w:pPr>
        <w:spacing w:line="955" w:lineRule="exact" w:before="271"/>
        <w:ind w:left="114" w:right="0" w:firstLine="0"/>
        <w:jc w:val="left"/>
        <w:rPr>
          <w:rFonts w:ascii="Courier New"/>
          <w:b/>
          <w:sz w:val="40"/>
        </w:rPr>
      </w:pPr>
      <w:r>
        <w:rPr/>
        <w:br w:type="column"/>
      </w:r>
      <w:r>
        <w:rPr>
          <w:color w:val="2F4D93"/>
          <w:position w:val="-43"/>
          <w:sz w:val="144"/>
        </w:rPr>
        <w:t>'</w:t>
      </w:r>
      <w:r>
        <w:rPr>
          <w:color w:val="2F4D93"/>
          <w:spacing w:val="-318"/>
          <w:position w:val="-43"/>
          <w:sz w:val="144"/>
        </w:rPr>
        <w:t> </w:t>
      </w:r>
      <w:r>
        <w:rPr>
          <w:rFonts w:ascii="Courier New"/>
          <w:b/>
          <w:color w:val="B5ACA7"/>
          <w:sz w:val="40"/>
        </w:rPr>
        <w:t>mmom</w:t>
      </w:r>
    </w:p>
    <w:p>
      <w:pPr>
        <w:spacing w:line="538" w:lineRule="exact" w:before="242"/>
        <w:ind w:left="785" w:right="0" w:firstLine="0"/>
        <w:jc w:val="left"/>
        <w:rPr>
          <w:sz w:val="43"/>
        </w:rPr>
      </w:pPr>
      <w:r>
        <w:rPr/>
        <w:br w:type="column"/>
      </w:r>
      <w:r>
        <w:rPr>
          <w:rFonts w:ascii="Times New Roman" w:hAnsi="Times New Roman"/>
          <w:color w:val="0172B1"/>
          <w:spacing w:val="-1"/>
          <w:w w:val="57"/>
          <w:sz w:val="30"/>
        </w:rPr>
        <w:t>•</w:t>
      </w:r>
      <w:r>
        <w:rPr>
          <w:rFonts w:ascii="Times New Roman" w:hAnsi="Times New Roman"/>
          <w:color w:val="0172B1"/>
          <w:spacing w:val="12"/>
          <w:w w:val="57"/>
          <w:sz w:val="30"/>
        </w:rPr>
        <w:t>•</w:t>
      </w:r>
      <w:r>
        <w:rPr>
          <w:rFonts w:ascii="Times New Roman" w:hAnsi="Times New Roman"/>
          <w:color w:val="07956D"/>
          <w:spacing w:val="5"/>
          <w:w w:val="100"/>
          <w:position w:val="8"/>
          <w:sz w:val="25"/>
        </w:rPr>
        <w:t>•</w:t>
      </w:r>
      <w:r>
        <w:rPr>
          <w:rFonts w:ascii="Times New Roman" w:hAnsi="Times New Roman"/>
          <w:color w:val="3BA138"/>
          <w:spacing w:val="-91"/>
          <w:w w:val="89"/>
          <w:sz w:val="30"/>
        </w:rPr>
        <w:t>•</w:t>
      </w:r>
      <w:r>
        <w:rPr>
          <w:rFonts w:ascii="Times New Roman" w:hAnsi="Times New Roman"/>
          <w:color w:val="3BA138"/>
          <w:spacing w:val="12"/>
          <w:w w:val="108"/>
          <w:position w:val="8"/>
          <w:sz w:val="25"/>
        </w:rPr>
        <w:t>•</w:t>
      </w:r>
      <w:r>
        <w:rPr>
          <w:rFonts w:ascii="Times New Roman" w:hAnsi="Times New Roman"/>
          <w:color w:val="BAAC2B"/>
          <w:spacing w:val="-10"/>
          <w:w w:val="109"/>
          <w:sz w:val="30"/>
        </w:rPr>
        <w:t>•</w:t>
      </w:r>
      <w:r>
        <w:rPr>
          <w:rFonts w:ascii="Times New Roman" w:hAnsi="Times New Roman"/>
          <w:color w:val="F29328"/>
          <w:spacing w:val="4"/>
          <w:w w:val="109"/>
          <w:sz w:val="30"/>
        </w:rPr>
        <w:t>•</w:t>
      </w:r>
      <w:r>
        <w:rPr>
          <w:color w:val="E84D2F"/>
          <w:w w:val="106"/>
          <w:position w:val="8"/>
          <w:sz w:val="43"/>
        </w:rPr>
        <w:t>•</w:t>
      </w:r>
    </w:p>
    <w:p>
      <w:pPr>
        <w:spacing w:line="82" w:lineRule="exact" w:before="0"/>
        <w:ind w:left="1389" w:right="0" w:firstLine="0"/>
        <w:jc w:val="left"/>
        <w:rPr>
          <w:b/>
          <w:sz w:val="8"/>
        </w:rPr>
      </w:pPr>
      <w:r>
        <w:rPr/>
        <w:drawing>
          <wp:anchor distT="0" distB="0" distL="0" distR="0" allowOverlap="1" layoutInCell="1" locked="0" behindDoc="0" simplePos="0" relativeHeight="15729152">
            <wp:simplePos x="0" y="0"/>
            <wp:positionH relativeFrom="page">
              <wp:posOffset>4792109</wp:posOffset>
            </wp:positionH>
            <wp:positionV relativeFrom="paragraph">
              <wp:posOffset>-269884</wp:posOffset>
            </wp:positionV>
            <wp:extent cx="790545" cy="61334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90545" cy="613346"/>
                    </a:xfrm>
                    <a:prstGeom prst="rect">
                      <a:avLst/>
                    </a:prstGeom>
                  </pic:spPr>
                </pic:pic>
              </a:graphicData>
            </a:graphic>
          </wp:anchor>
        </w:drawing>
      </w:r>
      <w:r>
        <w:rPr/>
        <w:pict>
          <v:group style="position:absolute;margin-left:470.342438pt;margin-top:-25.318903pt;width:98.55pt;height:41.8pt;mso-position-horizontal-relative:page;mso-position-vertical-relative:paragraph;z-index:15729664" coordorigin="9407,-506" coordsize="1971,836">
            <v:shape style="position:absolute;left:9406;top:-281;width:1971;height:611" type="#_x0000_t75" stroked="false">
              <v:imagedata r:id="rId6" o:title=""/>
            </v:shape>
            <v:shapetype id="_x0000_t202" o:spt="202" coordsize="21600,21600" path="m,l,21600r21600,l21600,xe">
              <v:stroke joinstyle="miter"/>
              <v:path gradientshapeok="t" o:connecttype="rect"/>
            </v:shapetype>
            <v:shape style="position:absolute;left:9406;top:-507;width:1971;height:836" type="#_x0000_t202" filled="false" stroked="false">
              <v:textbox inset="0,0,0,0">
                <w:txbxContent>
                  <w:p>
                    <w:pPr>
                      <w:spacing w:line="693" w:lineRule="exact" w:before="0"/>
                      <w:ind w:left="1011" w:right="0" w:firstLine="0"/>
                      <w:jc w:val="left"/>
                      <w:rPr>
                        <w:b/>
                        <w:sz w:val="62"/>
                      </w:rPr>
                    </w:pPr>
                    <w:r>
                      <w:rPr>
                        <w:b/>
                        <w:color w:val="7C7E80"/>
                        <w:sz w:val="62"/>
                      </w:rPr>
                      <w:t>rr</w:t>
                    </w:r>
                  </w:p>
                </w:txbxContent>
              </v:textbox>
              <w10:wrap type="none"/>
            </v:shape>
            <w10:wrap type="none"/>
          </v:group>
        </w:pict>
      </w:r>
      <w:r>
        <w:rPr/>
        <w:pict>
          <v:shape style="position:absolute;margin-left:255.167404pt;margin-top:-3.837465pt;width:48.75pt;height:27.1pt;mso-position-horizontal-relative:page;mso-position-vertical-relative:paragraph;z-index:-15790080" type="#_x0000_t202" filled="false" stroked="false">
            <v:textbox inset="0,0,0,0">
              <w:txbxContent>
                <w:p>
                  <w:pPr>
                    <w:spacing w:line="542" w:lineRule="exact" w:before="0"/>
                    <w:ind w:left="0" w:right="0" w:firstLine="0"/>
                    <w:jc w:val="left"/>
                    <w:rPr>
                      <w:sz w:val="48"/>
                    </w:rPr>
                  </w:pPr>
                  <w:r>
                    <w:rPr>
                      <w:color w:val="605E5E"/>
                      <w:w w:val="105"/>
                      <w:sz w:val="48"/>
                    </w:rPr>
                    <w:t>GNI</w:t>
                  </w:r>
                </w:p>
              </w:txbxContent>
            </v:textbox>
            <w10:wrap type="none"/>
          </v:shape>
        </w:pict>
      </w:r>
      <w:r>
        <w:rPr/>
        <w:pict>
          <v:shape style="position:absolute;margin-left:292.816406pt;margin-top:-9.780999pt;width:4.6pt;height:13.45pt;mso-position-horizontal-relative:page;mso-position-vertical-relative:paragraph;z-index:-15789568" type="#_x0000_t202" filled="false" stroked="false">
            <v:textbox inset="0,0,0,0">
              <w:txbxContent>
                <w:p>
                  <w:pPr>
                    <w:spacing w:line="268" w:lineRule="exact" w:before="0"/>
                    <w:ind w:left="0" w:right="0" w:firstLine="0"/>
                    <w:jc w:val="left"/>
                    <w:rPr>
                      <w:sz w:val="24"/>
                    </w:rPr>
                  </w:pPr>
                  <w:r>
                    <w:rPr>
                      <w:color w:val="BAAC2B"/>
                      <w:w w:val="109"/>
                      <w:sz w:val="24"/>
                    </w:rPr>
                    <w:t>•</w:t>
                  </w:r>
                </w:p>
              </w:txbxContent>
            </v:textbox>
            <w10:wrap type="none"/>
          </v:shape>
        </w:pict>
      </w:r>
      <w:r>
        <w:rPr>
          <w:b/>
          <w:color w:val="605E5E"/>
          <w:w w:val="115"/>
          <w:sz w:val="8"/>
        </w:rPr>
        <w:t>GROUPE ENT NATIONAL</w:t>
      </w:r>
    </w:p>
    <w:p>
      <w:pPr>
        <w:spacing w:line="268" w:lineRule="auto" w:before="4"/>
        <w:ind w:left="1387" w:right="4112" w:firstLine="4"/>
        <w:jc w:val="left"/>
        <w:rPr>
          <w:rFonts w:ascii="Times New Roman" w:hAnsi="Times New Roman"/>
          <w:b/>
          <w:sz w:val="8"/>
        </w:rPr>
      </w:pPr>
      <w:r>
        <w:rPr>
          <w:rFonts w:ascii="Times New Roman" w:hAnsi="Times New Roman"/>
          <w:b/>
          <w:color w:val="605E5E"/>
          <w:w w:val="105"/>
          <w:sz w:val="8"/>
        </w:rPr>
        <w:t>DES INDEPENDANTS </w:t>
      </w:r>
      <w:r>
        <w:rPr>
          <w:b/>
          <w:color w:val="605E5E"/>
          <w:w w:val="105"/>
          <w:sz w:val="8"/>
        </w:rPr>
        <w:t>HÔTELLERIE </w:t>
      </w:r>
      <w:r>
        <w:rPr>
          <w:b/>
          <w:color w:val="605E5E"/>
          <w:w w:val="105"/>
          <w:sz w:val="6"/>
        </w:rPr>
        <w:t>1, </w:t>
      </w:r>
      <w:r>
        <w:rPr>
          <w:rFonts w:ascii="Times New Roman" w:hAnsi="Times New Roman"/>
          <w:b/>
          <w:color w:val="605E5E"/>
          <w:w w:val="105"/>
          <w:sz w:val="8"/>
        </w:rPr>
        <w:t>RESTAURATION</w:t>
      </w:r>
    </w:p>
    <w:p>
      <w:pPr>
        <w:spacing w:after="0" w:line="268" w:lineRule="auto"/>
        <w:jc w:val="left"/>
        <w:rPr>
          <w:rFonts w:ascii="Times New Roman" w:hAnsi="Times New Roman"/>
          <w:sz w:val="8"/>
        </w:rPr>
        <w:sectPr>
          <w:type w:val="continuous"/>
          <w:pgSz w:w="11910" w:h="16840"/>
          <w:pgMar w:top="640" w:bottom="280" w:left="520" w:right="420"/>
          <w:cols w:num="3" w:equalWidth="0">
            <w:col w:w="2304" w:space="148"/>
            <w:col w:w="1453" w:space="301"/>
            <w:col w:w="6764"/>
          </w:cols>
        </w:sectPr>
      </w:pPr>
    </w:p>
    <w:p>
      <w:pPr>
        <w:spacing w:line="167" w:lineRule="exact" w:before="0"/>
        <w:ind w:left="156" w:right="0" w:firstLine="0"/>
        <w:jc w:val="left"/>
        <w:rPr>
          <w:rFonts w:ascii="Times New Roman" w:hAnsi="Times New Roman"/>
          <w:i/>
          <w:sz w:val="15"/>
        </w:rPr>
      </w:pPr>
      <w:r>
        <w:rPr>
          <w:rFonts w:ascii="Times New Roman" w:hAnsi="Times New Roman"/>
          <w:i/>
          <w:color w:val="2F2F2F"/>
          <w:sz w:val="15"/>
        </w:rPr>
        <w:t>Fraternit</w:t>
      </w:r>
      <w:r>
        <w:rPr>
          <w:rFonts w:ascii="Times New Roman" w:hAnsi="Times New Roman"/>
          <w:i/>
          <w:color w:val="605E5E"/>
          <w:sz w:val="15"/>
        </w:rPr>
        <w:t>é</w:t>
      </w:r>
    </w:p>
    <w:p>
      <w:pPr>
        <w:spacing w:line="121" w:lineRule="exact" w:before="21"/>
        <w:ind w:left="82" w:right="6620" w:firstLine="0"/>
        <w:jc w:val="center"/>
        <w:rPr>
          <w:sz w:val="11"/>
        </w:rPr>
      </w:pPr>
      <w:r>
        <w:rPr/>
        <w:br w:type="column"/>
      </w:r>
      <w:r>
        <w:rPr>
          <w:color w:val="B5ACA7"/>
          <w:w w:val="95"/>
          <w:sz w:val="11"/>
        </w:rPr>
        <w:t>UNION DES MÉTIERS ET</w:t>
      </w:r>
    </w:p>
    <w:p>
      <w:pPr>
        <w:spacing w:line="121" w:lineRule="exact" w:before="0"/>
        <w:ind w:left="82" w:right="6637" w:firstLine="0"/>
        <w:jc w:val="center"/>
        <w:rPr>
          <w:sz w:val="11"/>
        </w:rPr>
      </w:pPr>
      <w:r>
        <w:rPr>
          <w:color w:val="B5ACA7"/>
          <w:w w:val="90"/>
          <w:sz w:val="11"/>
        </w:rPr>
        <w:t>DES INDUSTRIES DE L'HÔTELLERIE</w:t>
      </w:r>
    </w:p>
    <w:p>
      <w:pPr>
        <w:pStyle w:val="BodyText"/>
        <w:spacing w:before="9"/>
        <w:rPr>
          <w:sz w:val="26"/>
        </w:rPr>
      </w:pPr>
      <w:r>
        <w:rPr/>
        <w:drawing>
          <wp:anchor distT="0" distB="0" distL="0" distR="0" allowOverlap="1" layoutInCell="1" locked="0" behindDoc="0" simplePos="0" relativeHeight="0">
            <wp:simplePos x="0" y="0"/>
            <wp:positionH relativeFrom="page">
              <wp:posOffset>3073664</wp:posOffset>
            </wp:positionH>
            <wp:positionV relativeFrom="paragraph">
              <wp:posOffset>220431</wp:posOffset>
            </wp:positionV>
            <wp:extent cx="1420751" cy="454151"/>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420751" cy="454151"/>
                    </a:xfrm>
                    <a:prstGeom prst="rect">
                      <a:avLst/>
                    </a:prstGeom>
                  </pic:spPr>
                </pic:pic>
              </a:graphicData>
            </a:graphic>
          </wp:anchor>
        </w:drawing>
      </w: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
        <w:rPr>
          <w:sz w:val="11"/>
        </w:rPr>
      </w:pPr>
    </w:p>
    <w:p>
      <w:pPr>
        <w:spacing w:before="0"/>
        <w:ind w:left="1339" w:right="0" w:firstLine="0"/>
        <w:jc w:val="left"/>
        <w:rPr>
          <w:b/>
          <w:sz w:val="27"/>
        </w:rPr>
      </w:pPr>
      <w:r>
        <w:rPr>
          <w:b/>
          <w:w w:val="105"/>
          <w:sz w:val="27"/>
        </w:rPr>
        <w:t>Communiqué de presse</w:t>
      </w:r>
    </w:p>
    <w:p>
      <w:pPr>
        <w:spacing w:after="0"/>
        <w:jc w:val="left"/>
        <w:rPr>
          <w:sz w:val="27"/>
        </w:rPr>
        <w:sectPr>
          <w:type w:val="continuous"/>
          <w:pgSz w:w="11910" w:h="16840"/>
          <w:pgMar w:top="640" w:bottom="280" w:left="520" w:right="420"/>
          <w:cols w:num="2" w:equalWidth="0">
            <w:col w:w="802" w:space="1695"/>
            <w:col w:w="8473"/>
          </w:cols>
        </w:sectPr>
      </w:pPr>
    </w:p>
    <w:p>
      <w:pPr>
        <w:pStyle w:val="BodyText"/>
        <w:rPr>
          <w:b/>
          <w:sz w:val="20"/>
        </w:rPr>
      </w:pPr>
    </w:p>
    <w:p>
      <w:pPr>
        <w:pStyle w:val="BodyText"/>
        <w:spacing w:before="2"/>
        <w:rPr>
          <w:b/>
          <w:sz w:val="29"/>
        </w:rPr>
      </w:pPr>
    </w:p>
    <w:p>
      <w:pPr>
        <w:pStyle w:val="BodyText"/>
        <w:spacing w:before="94"/>
        <w:ind w:right="973"/>
        <w:jc w:val="right"/>
      </w:pPr>
      <w:r>
        <w:rPr>
          <w:w w:val="110"/>
        </w:rPr>
        <w:t>Paris,</w:t>
      </w:r>
      <w:r>
        <w:rPr>
          <w:spacing w:val="-33"/>
          <w:w w:val="110"/>
        </w:rPr>
        <w:t> </w:t>
      </w:r>
      <w:r>
        <w:rPr>
          <w:w w:val="110"/>
        </w:rPr>
        <w:t>le</w:t>
      </w:r>
      <w:r>
        <w:rPr>
          <w:spacing w:val="-32"/>
          <w:w w:val="110"/>
        </w:rPr>
        <w:t> </w:t>
      </w:r>
      <w:r>
        <w:rPr>
          <w:w w:val="110"/>
        </w:rPr>
        <w:t>29</w:t>
      </w:r>
      <w:r>
        <w:rPr>
          <w:spacing w:val="-30"/>
          <w:w w:val="110"/>
        </w:rPr>
        <w:t> </w:t>
      </w:r>
      <w:r>
        <w:rPr>
          <w:w w:val="110"/>
        </w:rPr>
        <w:t>novembre</w:t>
      </w:r>
      <w:r>
        <w:rPr>
          <w:spacing w:val="-23"/>
          <w:w w:val="110"/>
        </w:rPr>
        <w:t> </w:t>
      </w:r>
      <w:r>
        <w:rPr>
          <w:w w:val="110"/>
        </w:rPr>
        <w:t>2020</w:t>
      </w:r>
    </w:p>
    <w:p>
      <w:pPr>
        <w:spacing w:before="208"/>
        <w:ind w:left="0" w:right="974" w:firstLine="0"/>
        <w:jc w:val="right"/>
        <w:rPr>
          <w:sz w:val="21"/>
        </w:rPr>
      </w:pPr>
      <w:r>
        <w:rPr>
          <w:spacing w:val="-2"/>
          <w:w w:val="105"/>
          <w:sz w:val="21"/>
        </w:rPr>
        <w:t>N°418</w:t>
      </w:r>
    </w:p>
    <w:p>
      <w:pPr>
        <w:pStyle w:val="BodyText"/>
      </w:pPr>
    </w:p>
    <w:p>
      <w:pPr>
        <w:pStyle w:val="BodyText"/>
      </w:pPr>
    </w:p>
    <w:p>
      <w:pPr>
        <w:pStyle w:val="BodyText"/>
        <w:spacing w:line="273" w:lineRule="auto" w:before="141"/>
        <w:ind w:left="900" w:right="981" w:firstLine="9"/>
        <w:jc w:val="both"/>
      </w:pPr>
      <w:r>
        <w:rPr>
          <w:b/>
          <w:w w:val="110"/>
        </w:rPr>
        <w:t>Bruno</w:t>
      </w:r>
      <w:r>
        <w:rPr>
          <w:b/>
          <w:spacing w:val="-14"/>
          <w:w w:val="110"/>
        </w:rPr>
        <w:t> </w:t>
      </w:r>
      <w:r>
        <w:rPr>
          <w:b/>
          <w:w w:val="110"/>
        </w:rPr>
        <w:t>Le</w:t>
      </w:r>
      <w:r>
        <w:rPr>
          <w:b/>
          <w:spacing w:val="-18"/>
          <w:w w:val="110"/>
        </w:rPr>
        <w:t> </w:t>
      </w:r>
      <w:r>
        <w:rPr>
          <w:b/>
          <w:w w:val="110"/>
        </w:rPr>
        <w:t>Maire,</w:t>
      </w:r>
      <w:r>
        <w:rPr>
          <w:b/>
          <w:spacing w:val="-21"/>
          <w:w w:val="110"/>
        </w:rPr>
        <w:t> </w:t>
      </w:r>
      <w:r>
        <w:rPr>
          <w:w w:val="110"/>
        </w:rPr>
        <w:t>ministre</w:t>
      </w:r>
      <w:r>
        <w:rPr>
          <w:spacing w:val="-22"/>
          <w:w w:val="110"/>
        </w:rPr>
        <w:t> </w:t>
      </w:r>
      <w:r>
        <w:rPr>
          <w:w w:val="110"/>
        </w:rPr>
        <w:t>de</w:t>
      </w:r>
      <w:r>
        <w:rPr>
          <w:spacing w:val="-20"/>
          <w:w w:val="110"/>
        </w:rPr>
        <w:t> </w:t>
      </w:r>
      <w:r>
        <w:rPr>
          <w:w w:val="110"/>
        </w:rPr>
        <w:t>l'Economie,</w:t>
      </w:r>
      <w:r>
        <w:rPr>
          <w:spacing w:val="-21"/>
          <w:w w:val="110"/>
        </w:rPr>
        <w:t> </w:t>
      </w:r>
      <w:r>
        <w:rPr>
          <w:w w:val="110"/>
        </w:rPr>
        <w:t>des</w:t>
      </w:r>
      <w:r>
        <w:rPr>
          <w:spacing w:val="-21"/>
          <w:w w:val="110"/>
        </w:rPr>
        <w:t> </w:t>
      </w:r>
      <w:r>
        <w:rPr>
          <w:w w:val="110"/>
        </w:rPr>
        <w:t>Finances</w:t>
      </w:r>
      <w:r>
        <w:rPr>
          <w:spacing w:val="-14"/>
          <w:w w:val="110"/>
        </w:rPr>
        <w:t> </w:t>
      </w:r>
      <w:r>
        <w:rPr>
          <w:w w:val="110"/>
        </w:rPr>
        <w:t>et</w:t>
      </w:r>
      <w:r>
        <w:rPr>
          <w:spacing w:val="-5"/>
          <w:w w:val="110"/>
        </w:rPr>
        <w:t> </w:t>
      </w:r>
      <w:r>
        <w:rPr>
          <w:w w:val="110"/>
        </w:rPr>
        <w:t>de</w:t>
      </w:r>
      <w:r>
        <w:rPr>
          <w:spacing w:val="-8"/>
          <w:w w:val="110"/>
        </w:rPr>
        <w:t> </w:t>
      </w:r>
      <w:r>
        <w:rPr>
          <w:w w:val="110"/>
        </w:rPr>
        <w:t>la</w:t>
      </w:r>
      <w:r>
        <w:rPr>
          <w:spacing w:val="-17"/>
          <w:w w:val="110"/>
        </w:rPr>
        <w:t> </w:t>
      </w:r>
      <w:r>
        <w:rPr>
          <w:w w:val="110"/>
        </w:rPr>
        <w:t>Relance,</w:t>
      </w:r>
      <w:r>
        <w:rPr>
          <w:spacing w:val="-22"/>
          <w:w w:val="110"/>
        </w:rPr>
        <w:t> </w:t>
      </w:r>
      <w:r>
        <w:rPr>
          <w:b/>
          <w:w w:val="110"/>
        </w:rPr>
        <w:t>Alain</w:t>
      </w:r>
      <w:r>
        <w:rPr>
          <w:b/>
          <w:spacing w:val="-22"/>
          <w:w w:val="110"/>
        </w:rPr>
        <w:t> </w:t>
      </w:r>
      <w:r>
        <w:rPr>
          <w:b/>
          <w:w w:val="110"/>
        </w:rPr>
        <w:t>Griset, </w:t>
      </w:r>
      <w:r>
        <w:rPr>
          <w:w w:val="110"/>
        </w:rPr>
        <w:t>ministre délégué aux Petites et Moyennes Entreprises, et </w:t>
      </w:r>
      <w:r>
        <w:rPr>
          <w:b/>
          <w:w w:val="110"/>
        </w:rPr>
        <w:t>Jean-Baptiste Lemoyne, </w:t>
      </w:r>
      <w:r>
        <w:rPr>
          <w:w w:val="110"/>
        </w:rPr>
        <w:t>secrétaire d'Etat au Tourisme, des Français de l'étranger et de la Francophonie, ont réuni les représentants du secteur de l'hôtellerie, des cafés et de la restauration pour détailler les aides qui seront mises à la disposition de ces entreprises au mois de décembre.</w:t>
      </w:r>
    </w:p>
    <w:p>
      <w:pPr>
        <w:pStyle w:val="BodyText"/>
        <w:spacing w:line="273" w:lineRule="auto" w:before="168"/>
        <w:ind w:left="905" w:right="974" w:firstLine="5"/>
        <w:jc w:val="both"/>
      </w:pPr>
      <w:r>
        <w:rPr>
          <w:w w:val="105"/>
        </w:rPr>
        <w:t>Bruno Le Maire a indiqué que l'Etat apportera un soutien renforcé à l'ensemble des acteurs du secteur sans limite de taille, pour  répondre  à  la situation  de fermeture  et de sous-activité prolongée liée aux mesures</w:t>
      </w:r>
      <w:r>
        <w:rPr>
          <w:spacing w:val="36"/>
          <w:w w:val="105"/>
        </w:rPr>
        <w:t> </w:t>
      </w:r>
      <w:r>
        <w:rPr>
          <w:w w:val="105"/>
        </w:rPr>
        <w:t>sanitaires.</w:t>
      </w:r>
    </w:p>
    <w:p>
      <w:pPr>
        <w:pStyle w:val="BodyText"/>
        <w:spacing w:line="276" w:lineRule="auto" w:before="163"/>
        <w:ind w:left="905" w:right="974" w:firstLine="5"/>
        <w:jc w:val="both"/>
      </w:pPr>
      <w:r>
        <w:rPr>
          <w:w w:val="105"/>
        </w:rPr>
        <w:t>Le fonds de solidarité est étendu à l'ensemble des entreprises  du secteur, sans limite  de taille, pour les entreprises fermées (cafés, bars, restaurants, discothèques notamment) ou connaissant une perte de CA  d'au  moins </w:t>
      </w:r>
      <w:r>
        <w:rPr>
          <w:w w:val="105"/>
          <w:sz w:val="21"/>
        </w:rPr>
        <w:t>50% </w:t>
      </w:r>
      <w:r>
        <w:rPr>
          <w:w w:val="105"/>
        </w:rPr>
        <w:t>(comme  les hôtels  ou les traiteurs organisateurs de</w:t>
      </w:r>
      <w:r>
        <w:rPr>
          <w:spacing w:val="35"/>
          <w:w w:val="105"/>
        </w:rPr>
        <w:t> </w:t>
      </w:r>
      <w:r>
        <w:rPr>
          <w:w w:val="105"/>
        </w:rPr>
        <w:t>réceptions).</w:t>
      </w:r>
    </w:p>
    <w:p>
      <w:pPr>
        <w:pStyle w:val="BodyText"/>
        <w:spacing w:line="276" w:lineRule="auto" w:before="153"/>
        <w:ind w:left="903" w:right="959" w:hanging="3"/>
        <w:jc w:val="both"/>
      </w:pPr>
      <w:r>
        <w:rPr>
          <w:w w:val="105"/>
        </w:rPr>
        <w:t>Ces entreprises continueront de bénéficier  d'une aide pouvant  aller  jusqu'à 10 000 </w:t>
      </w:r>
      <w:r>
        <w:rPr>
          <w:w w:val="105"/>
          <w:sz w:val="21"/>
        </w:rPr>
        <w:t>€  </w:t>
      </w:r>
      <w:r>
        <w:rPr>
          <w:w w:val="105"/>
        </w:rPr>
        <w:t>ou pourront  opter  pour  une aide nouvelle  de </w:t>
      </w:r>
      <w:r>
        <w:rPr>
          <w:w w:val="105"/>
          <w:sz w:val="21"/>
        </w:rPr>
        <w:t>15% </w:t>
      </w:r>
      <w:r>
        <w:rPr>
          <w:w w:val="105"/>
        </w:rPr>
        <w:t>du  chiffre d'affaires  mensuel visant à couvrir leurs charges fixes, portée à 20% du chiffre d'affaires mensuel pour les entreprises fermées administrativement ou pour celles qui connaissent une perte de chiffre d'affaires au moins égale à </w:t>
      </w:r>
      <w:r>
        <w:rPr>
          <w:w w:val="105"/>
          <w:sz w:val="21"/>
        </w:rPr>
        <w:t>70%. </w:t>
      </w:r>
      <w:r>
        <w:rPr>
          <w:w w:val="105"/>
        </w:rPr>
        <w:t>Elle sera attribuée à chaque entreprise sur la base de la déclaration de son numéro SIREN. Cette aide du fonds de solidarité sera plafonnée à 200 000 euros par</w:t>
      </w:r>
      <w:r>
        <w:rPr>
          <w:spacing w:val="23"/>
          <w:w w:val="105"/>
        </w:rPr>
        <w:t> </w:t>
      </w:r>
      <w:r>
        <w:rPr>
          <w:w w:val="105"/>
        </w:rPr>
        <w:t>mois.</w:t>
      </w:r>
    </w:p>
    <w:p>
      <w:pPr>
        <w:pStyle w:val="BodyText"/>
        <w:spacing w:line="276" w:lineRule="auto" w:before="150"/>
        <w:ind w:left="904" w:right="975" w:firstLine="6"/>
        <w:jc w:val="both"/>
      </w:pPr>
      <w:r>
        <w:rPr>
          <w:w w:val="110"/>
        </w:rPr>
        <w:t>Le chiffre d'affaires de référence retenu pour le calcul de l'aide pourra être le chiffre d'affaires du mois de décembre 2019 ou le chiffre d'affaires mensuel moyen</w:t>
      </w:r>
      <w:r>
        <w:rPr>
          <w:spacing w:val="-44"/>
          <w:w w:val="110"/>
        </w:rPr>
        <w:t> </w:t>
      </w:r>
      <w:r>
        <w:rPr>
          <w:w w:val="110"/>
        </w:rPr>
        <w:t>constaté en 2019.</w:t>
      </w:r>
    </w:p>
    <w:p>
      <w:pPr>
        <w:pStyle w:val="BodyText"/>
        <w:spacing w:line="276" w:lineRule="auto" w:before="156"/>
        <w:ind w:left="900" w:right="971" w:firstLine="9"/>
        <w:jc w:val="both"/>
      </w:pPr>
      <w:r>
        <w:rPr>
          <w:w w:val="110"/>
        </w:rPr>
        <w:t>Bruno Le Maire a précisé que les entreprises dont les gérants disposent d'un contrat de travail dans une autre entreprise pourront bénéficier de l'accès au fonds de solidarité.</w:t>
      </w:r>
    </w:p>
    <w:p>
      <w:pPr>
        <w:spacing w:after="0" w:line="276" w:lineRule="auto"/>
        <w:jc w:val="both"/>
        <w:sectPr>
          <w:type w:val="continuous"/>
          <w:pgSz w:w="11910" w:h="16840"/>
          <w:pgMar w:top="640" w:bottom="280" w:left="520" w:right="420"/>
        </w:sectPr>
      </w:pPr>
    </w:p>
    <w:p>
      <w:pPr>
        <w:pStyle w:val="BodyText"/>
        <w:spacing w:line="264" w:lineRule="auto" w:before="64"/>
        <w:ind w:left="905" w:right="986" w:firstLine="4"/>
        <w:jc w:val="both"/>
      </w:pPr>
      <w:r>
        <w:rPr>
          <w:w w:val="105"/>
        </w:rPr>
        <w:t>Pour les entreprises de plus grande taille, ces aides pourront être complétées  d'avances remboursables de l'Etat, grâce </w:t>
      </w:r>
      <w:r>
        <w:rPr>
          <w:rFonts w:ascii="Times New Roman" w:hAnsi="Times New Roman"/>
          <w:w w:val="105"/>
          <w:sz w:val="24"/>
        </w:rPr>
        <w:t>à </w:t>
      </w:r>
      <w:r>
        <w:rPr>
          <w:w w:val="105"/>
        </w:rPr>
        <w:t>l'enveloppe de 500 M€ mise </w:t>
      </w:r>
      <w:r>
        <w:rPr>
          <w:rFonts w:ascii="Times New Roman" w:hAnsi="Times New Roman"/>
          <w:w w:val="105"/>
          <w:sz w:val="24"/>
        </w:rPr>
        <w:t>à </w:t>
      </w:r>
      <w:r>
        <w:rPr>
          <w:w w:val="105"/>
        </w:rPr>
        <w:t>disposition  par le Gouvernement en</w:t>
      </w:r>
      <w:r>
        <w:rPr>
          <w:spacing w:val="-25"/>
          <w:w w:val="105"/>
        </w:rPr>
        <w:t> </w:t>
      </w:r>
      <w:r>
        <w:rPr>
          <w:w w:val="105"/>
        </w:rPr>
        <w:t>2020.</w:t>
      </w:r>
    </w:p>
    <w:p>
      <w:pPr>
        <w:pStyle w:val="BodyText"/>
        <w:spacing w:line="273" w:lineRule="auto" w:before="173"/>
        <w:ind w:left="909" w:right="974" w:hanging="8"/>
        <w:jc w:val="both"/>
      </w:pPr>
      <w:r>
        <w:rPr>
          <w:w w:val="105"/>
        </w:rPr>
        <w:t>Ces avances, remboursables sur une période de 10 ans avec 3 ans de différé, seront accordées par les CODEFI dans chaque département pour les entreprises de moins de 400 salariés. Le taux d'intérêt de ces avances sera, a annoncé le ministre, de 1%.</w:t>
      </w:r>
    </w:p>
    <w:p>
      <w:pPr>
        <w:pStyle w:val="BodyText"/>
        <w:spacing w:line="256" w:lineRule="auto" w:before="163"/>
        <w:ind w:left="907" w:right="1006" w:firstLine="3"/>
        <w:jc w:val="both"/>
      </w:pPr>
      <w:r>
        <w:rPr>
          <w:w w:val="105"/>
        </w:rPr>
        <w:t>Les entreprises de plus de 400 salariés pourront être accompagnées par le CIRI, qui peut accorder des prêts FDES grâce </w:t>
      </w:r>
      <w:r>
        <w:rPr>
          <w:rFonts w:ascii="Times New Roman" w:hAnsi="Times New Roman"/>
          <w:w w:val="105"/>
          <w:sz w:val="24"/>
        </w:rPr>
        <w:t>à </w:t>
      </w:r>
      <w:r>
        <w:rPr>
          <w:w w:val="105"/>
        </w:rPr>
        <w:t>l'enveloppe d'1 Md€ débloquée en 2020.</w:t>
      </w:r>
    </w:p>
    <w:p>
      <w:pPr>
        <w:pStyle w:val="BodyText"/>
        <w:spacing w:line="266" w:lineRule="auto" w:before="169"/>
        <w:ind w:left="904" w:right="959" w:firstLine="6"/>
        <w:jc w:val="both"/>
      </w:pPr>
      <w:r>
        <w:rPr>
          <w:w w:val="110"/>
        </w:rPr>
        <w:t>Les autres aides prévues depuis le début de la crise demeurent disponibles. Les entreprises</w:t>
      </w:r>
      <w:r>
        <w:rPr>
          <w:spacing w:val="2"/>
          <w:w w:val="110"/>
        </w:rPr>
        <w:t> </w:t>
      </w:r>
      <w:r>
        <w:rPr>
          <w:w w:val="110"/>
        </w:rPr>
        <w:t>de</w:t>
      </w:r>
      <w:r>
        <w:rPr>
          <w:spacing w:val="-5"/>
          <w:w w:val="110"/>
        </w:rPr>
        <w:t> </w:t>
      </w:r>
      <w:r>
        <w:rPr>
          <w:w w:val="110"/>
        </w:rPr>
        <w:t>moins</w:t>
      </w:r>
      <w:r>
        <w:rPr>
          <w:spacing w:val="-10"/>
          <w:w w:val="110"/>
        </w:rPr>
        <w:t> </w:t>
      </w:r>
      <w:r>
        <w:rPr>
          <w:w w:val="110"/>
        </w:rPr>
        <w:t>de</w:t>
      </w:r>
      <w:r>
        <w:rPr>
          <w:spacing w:val="-8"/>
          <w:w w:val="110"/>
        </w:rPr>
        <w:t> </w:t>
      </w:r>
      <w:r>
        <w:rPr>
          <w:w w:val="110"/>
        </w:rPr>
        <w:t>250</w:t>
      </w:r>
      <w:r>
        <w:rPr>
          <w:spacing w:val="-17"/>
          <w:w w:val="110"/>
        </w:rPr>
        <w:t> </w:t>
      </w:r>
      <w:r>
        <w:rPr>
          <w:w w:val="110"/>
        </w:rPr>
        <w:t>salariés</w:t>
      </w:r>
      <w:r>
        <w:rPr>
          <w:spacing w:val="-6"/>
          <w:w w:val="110"/>
        </w:rPr>
        <w:t> </w:t>
      </w:r>
      <w:r>
        <w:rPr>
          <w:w w:val="110"/>
        </w:rPr>
        <w:t>fermées</w:t>
      </w:r>
      <w:r>
        <w:rPr>
          <w:spacing w:val="-4"/>
          <w:w w:val="110"/>
        </w:rPr>
        <w:t> </w:t>
      </w:r>
      <w:r>
        <w:rPr>
          <w:w w:val="110"/>
        </w:rPr>
        <w:t>ou</w:t>
      </w:r>
      <w:r>
        <w:rPr>
          <w:spacing w:val="-3"/>
          <w:w w:val="110"/>
        </w:rPr>
        <w:t> </w:t>
      </w:r>
      <w:r>
        <w:rPr>
          <w:w w:val="110"/>
        </w:rPr>
        <w:t>qui</w:t>
      </w:r>
      <w:r>
        <w:rPr>
          <w:spacing w:val="3"/>
          <w:w w:val="110"/>
        </w:rPr>
        <w:t> </w:t>
      </w:r>
      <w:r>
        <w:rPr>
          <w:w w:val="110"/>
        </w:rPr>
        <w:t>subissent une</w:t>
      </w:r>
      <w:r>
        <w:rPr>
          <w:spacing w:val="-8"/>
          <w:w w:val="110"/>
        </w:rPr>
        <w:t> </w:t>
      </w:r>
      <w:r>
        <w:rPr>
          <w:w w:val="110"/>
        </w:rPr>
        <w:t>perte</w:t>
      </w:r>
      <w:r>
        <w:rPr>
          <w:spacing w:val="-14"/>
          <w:w w:val="110"/>
        </w:rPr>
        <w:t> </w:t>
      </w:r>
      <w:r>
        <w:rPr>
          <w:w w:val="110"/>
        </w:rPr>
        <w:t>d'activité</w:t>
      </w:r>
      <w:r>
        <w:rPr>
          <w:spacing w:val="-4"/>
          <w:w w:val="110"/>
        </w:rPr>
        <w:t> </w:t>
      </w:r>
      <w:r>
        <w:rPr>
          <w:w w:val="110"/>
        </w:rPr>
        <w:t>de plus de 50% pourront continuer </w:t>
      </w:r>
      <w:r>
        <w:rPr>
          <w:rFonts w:ascii="Times New Roman" w:hAnsi="Times New Roman"/>
          <w:w w:val="110"/>
          <w:sz w:val="24"/>
        </w:rPr>
        <w:t>à </w:t>
      </w:r>
      <w:r>
        <w:rPr>
          <w:w w:val="110"/>
        </w:rPr>
        <w:t>bénéficier des exonérations de cotisations sociales et d'une aide au paiement de</w:t>
      </w:r>
      <w:r>
        <w:rPr>
          <w:spacing w:val="25"/>
          <w:w w:val="110"/>
        </w:rPr>
        <w:t> </w:t>
      </w:r>
      <w:r>
        <w:rPr>
          <w:w w:val="110"/>
        </w:rPr>
        <w:t>cotisations.</w:t>
      </w:r>
    </w:p>
    <w:p>
      <w:pPr>
        <w:pStyle w:val="BodyText"/>
        <w:spacing w:line="273" w:lineRule="auto" w:before="173"/>
        <w:ind w:left="905" w:right="974" w:firstLine="5"/>
        <w:jc w:val="both"/>
      </w:pPr>
      <w:r>
        <w:rPr>
          <w:w w:val="105"/>
        </w:rPr>
        <w:t>Les prêts garantis par l'Etat </w:t>
      </w:r>
      <w:r>
        <w:rPr>
          <w:rFonts w:ascii="Times New Roman" w:hAnsi="Times New Roman"/>
          <w:w w:val="105"/>
          <w:sz w:val="19"/>
        </w:rPr>
        <w:t>« </w:t>
      </w:r>
      <w:r>
        <w:rPr>
          <w:w w:val="105"/>
        </w:rPr>
        <w:t>saison </w:t>
      </w:r>
      <w:r>
        <w:rPr>
          <w:rFonts w:ascii="Times New Roman" w:hAnsi="Times New Roman"/>
          <w:w w:val="105"/>
          <w:sz w:val="19"/>
        </w:rPr>
        <w:t>», </w:t>
      </w:r>
      <w:r>
        <w:rPr>
          <w:w w:val="105"/>
        </w:rPr>
        <w:t>dont  le plafond s'élève aux trois meilleurs mois de chiffre d'affaires en 2019, demeurent accessibles jusqu'au 30 juin</w:t>
      </w:r>
      <w:r>
        <w:rPr>
          <w:spacing w:val="-3"/>
          <w:w w:val="105"/>
        </w:rPr>
        <w:t> </w:t>
      </w:r>
      <w:r>
        <w:rPr>
          <w:w w:val="105"/>
        </w:rPr>
        <w:t>2021.</w:t>
      </w:r>
    </w:p>
    <w:p>
      <w:pPr>
        <w:pStyle w:val="BodyText"/>
        <w:spacing w:line="268" w:lineRule="auto" w:before="146"/>
        <w:ind w:left="905" w:right="984" w:firstLine="5"/>
        <w:jc w:val="both"/>
      </w:pPr>
      <w:r>
        <w:rPr>
          <w:w w:val="105"/>
        </w:rPr>
        <w:t>Les ministres ont tenus </w:t>
      </w:r>
      <w:r>
        <w:rPr>
          <w:rFonts w:ascii="Times New Roman" w:hAnsi="Times New Roman"/>
          <w:w w:val="105"/>
          <w:sz w:val="24"/>
        </w:rPr>
        <w:t>à </w:t>
      </w:r>
      <w:r>
        <w:rPr>
          <w:w w:val="105"/>
        </w:rPr>
        <w:t>rappeler l'engagement indéfectible de l'Etat  pour accompagner les hôtels, les cafés, les restaurants, les discothèques et les traiteurs organisateurs de réceptions dans cette période</w:t>
      </w:r>
      <w:r>
        <w:rPr>
          <w:spacing w:val="59"/>
          <w:w w:val="105"/>
        </w:rPr>
        <w:t> </w:t>
      </w:r>
      <w:r>
        <w:rPr>
          <w:w w:val="105"/>
        </w:rPr>
        <w:t>difficile.</w:t>
      </w:r>
    </w:p>
    <w:p>
      <w:pPr>
        <w:pStyle w:val="BodyText"/>
        <w:spacing w:line="273" w:lineRule="auto" w:before="170"/>
        <w:ind w:left="900" w:right="963" w:firstLine="9"/>
        <w:jc w:val="both"/>
      </w:pPr>
      <w:r>
        <w:rPr>
          <w:w w:val="110"/>
        </w:rPr>
        <w:t>Les organisations professionnelles représentatives du secteur, GNC, GNI, UMIH, SNRTC</w:t>
      </w:r>
      <w:r>
        <w:rPr>
          <w:spacing w:val="-9"/>
          <w:w w:val="110"/>
        </w:rPr>
        <w:t> </w:t>
      </w:r>
      <w:r>
        <w:rPr>
          <w:w w:val="110"/>
        </w:rPr>
        <w:t>et</w:t>
      </w:r>
      <w:r>
        <w:rPr>
          <w:spacing w:val="6"/>
          <w:w w:val="110"/>
        </w:rPr>
        <w:t> </w:t>
      </w:r>
      <w:r>
        <w:rPr>
          <w:w w:val="110"/>
        </w:rPr>
        <w:t>SNARR</w:t>
      </w:r>
      <w:r>
        <w:rPr>
          <w:spacing w:val="-13"/>
          <w:w w:val="110"/>
        </w:rPr>
        <w:t> </w:t>
      </w:r>
      <w:r>
        <w:rPr>
          <w:w w:val="110"/>
        </w:rPr>
        <w:t>se</w:t>
      </w:r>
      <w:r>
        <w:rPr>
          <w:spacing w:val="-17"/>
          <w:w w:val="110"/>
        </w:rPr>
        <w:t> </w:t>
      </w:r>
      <w:r>
        <w:rPr>
          <w:w w:val="110"/>
        </w:rPr>
        <w:t>sont</w:t>
      </w:r>
      <w:r>
        <w:rPr>
          <w:spacing w:val="-10"/>
          <w:w w:val="110"/>
        </w:rPr>
        <w:t> </w:t>
      </w:r>
      <w:r>
        <w:rPr>
          <w:w w:val="110"/>
        </w:rPr>
        <w:t>félicitées</w:t>
      </w:r>
      <w:r>
        <w:rPr>
          <w:spacing w:val="-7"/>
          <w:w w:val="110"/>
        </w:rPr>
        <w:t> </w:t>
      </w:r>
      <w:r>
        <w:rPr>
          <w:w w:val="110"/>
        </w:rPr>
        <w:t>du</w:t>
      </w:r>
      <w:r>
        <w:rPr>
          <w:spacing w:val="-12"/>
          <w:w w:val="110"/>
        </w:rPr>
        <w:t> </w:t>
      </w:r>
      <w:r>
        <w:rPr>
          <w:w w:val="110"/>
        </w:rPr>
        <w:t>dialogue</w:t>
      </w:r>
      <w:r>
        <w:rPr>
          <w:spacing w:val="-10"/>
          <w:w w:val="110"/>
        </w:rPr>
        <w:t> </w:t>
      </w:r>
      <w:r>
        <w:rPr>
          <w:w w:val="110"/>
        </w:rPr>
        <w:t>constructif</w:t>
      </w:r>
      <w:r>
        <w:rPr>
          <w:spacing w:val="-11"/>
          <w:w w:val="110"/>
        </w:rPr>
        <w:t> </w:t>
      </w:r>
      <w:r>
        <w:rPr>
          <w:w w:val="110"/>
        </w:rPr>
        <w:t>engagé</w:t>
      </w:r>
      <w:r>
        <w:rPr>
          <w:spacing w:val="-9"/>
          <w:w w:val="110"/>
        </w:rPr>
        <w:t> </w:t>
      </w:r>
      <w:r>
        <w:rPr>
          <w:w w:val="110"/>
        </w:rPr>
        <w:t>avec</w:t>
      </w:r>
      <w:r>
        <w:rPr>
          <w:spacing w:val="-6"/>
          <w:w w:val="110"/>
        </w:rPr>
        <w:t> </w:t>
      </w:r>
      <w:r>
        <w:rPr>
          <w:w w:val="110"/>
        </w:rPr>
        <w:t>les</w:t>
      </w:r>
      <w:r>
        <w:rPr>
          <w:spacing w:val="-15"/>
          <w:w w:val="110"/>
        </w:rPr>
        <w:t> </w:t>
      </w:r>
      <w:r>
        <w:rPr>
          <w:w w:val="110"/>
        </w:rPr>
        <w:t>pouvoirs publics</w:t>
      </w:r>
      <w:r>
        <w:rPr>
          <w:spacing w:val="-17"/>
          <w:w w:val="110"/>
        </w:rPr>
        <w:t> </w:t>
      </w:r>
      <w:r>
        <w:rPr>
          <w:w w:val="110"/>
        </w:rPr>
        <w:t>et</w:t>
      </w:r>
      <w:r>
        <w:rPr>
          <w:spacing w:val="-7"/>
          <w:w w:val="110"/>
        </w:rPr>
        <w:t> </w:t>
      </w:r>
      <w:r>
        <w:rPr>
          <w:w w:val="110"/>
        </w:rPr>
        <w:t>des</w:t>
      </w:r>
      <w:r>
        <w:rPr>
          <w:spacing w:val="-16"/>
          <w:w w:val="110"/>
        </w:rPr>
        <w:t> </w:t>
      </w:r>
      <w:r>
        <w:rPr>
          <w:w w:val="110"/>
        </w:rPr>
        <w:t>mesures</w:t>
      </w:r>
      <w:r>
        <w:rPr>
          <w:spacing w:val="-13"/>
          <w:w w:val="110"/>
        </w:rPr>
        <w:t> </w:t>
      </w:r>
      <w:r>
        <w:rPr>
          <w:w w:val="110"/>
        </w:rPr>
        <w:t>fortes</w:t>
      </w:r>
      <w:r>
        <w:rPr>
          <w:spacing w:val="-13"/>
          <w:w w:val="110"/>
        </w:rPr>
        <w:t> </w:t>
      </w:r>
      <w:r>
        <w:rPr>
          <w:w w:val="110"/>
        </w:rPr>
        <w:t>annoncées</w:t>
      </w:r>
      <w:r>
        <w:rPr>
          <w:spacing w:val="-7"/>
          <w:w w:val="110"/>
        </w:rPr>
        <w:t> </w:t>
      </w:r>
      <w:r>
        <w:rPr>
          <w:w w:val="110"/>
        </w:rPr>
        <w:t>pour</w:t>
      </w:r>
      <w:r>
        <w:rPr>
          <w:spacing w:val="-8"/>
          <w:w w:val="110"/>
        </w:rPr>
        <w:t> </w:t>
      </w:r>
      <w:r>
        <w:rPr>
          <w:w w:val="110"/>
        </w:rPr>
        <w:t>soutenir l'ensemble</w:t>
      </w:r>
      <w:r>
        <w:rPr>
          <w:spacing w:val="-6"/>
          <w:w w:val="110"/>
        </w:rPr>
        <w:t> </w:t>
      </w:r>
      <w:r>
        <w:rPr>
          <w:w w:val="110"/>
        </w:rPr>
        <w:t>des</w:t>
      </w:r>
      <w:r>
        <w:rPr>
          <w:spacing w:val="-19"/>
          <w:w w:val="110"/>
        </w:rPr>
        <w:t> </w:t>
      </w:r>
      <w:r>
        <w:rPr>
          <w:w w:val="110"/>
        </w:rPr>
        <w:t>entreprises</w:t>
      </w:r>
      <w:r>
        <w:rPr>
          <w:spacing w:val="-5"/>
          <w:w w:val="110"/>
        </w:rPr>
        <w:t> </w:t>
      </w:r>
      <w:r>
        <w:rPr>
          <w:w w:val="110"/>
        </w:rPr>
        <w:t>du secteur en</w:t>
      </w:r>
      <w:r>
        <w:rPr>
          <w:spacing w:val="7"/>
          <w:w w:val="110"/>
        </w:rPr>
        <w:t> </w:t>
      </w:r>
      <w:r>
        <w:rPr>
          <w:w w:val="110"/>
        </w:rPr>
        <w:t>difficulté.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1340" w:bottom="280" w:left="520" w:right="420"/>
        </w:sectPr>
      </w:pPr>
    </w:p>
    <w:p>
      <w:pPr>
        <w:spacing w:before="251"/>
        <w:ind w:left="902" w:right="0" w:firstLine="0"/>
        <w:jc w:val="left"/>
        <w:rPr>
          <w:rFonts w:ascii="Times New Roman"/>
          <w:sz w:val="25"/>
        </w:rPr>
      </w:pPr>
      <w:r>
        <w:rPr>
          <w:rFonts w:ascii="Times New Roman"/>
          <w:b/>
          <w:sz w:val="25"/>
          <w:u w:val="thick"/>
        </w:rPr>
        <w:t>Contacts presse</w:t>
      </w:r>
      <w:r>
        <w:rPr>
          <w:rFonts w:ascii="Times New Roman"/>
          <w:b/>
          <w:sz w:val="25"/>
        </w:rPr>
        <w:t> </w:t>
      </w:r>
      <w:r>
        <w:rPr>
          <w:rFonts w:ascii="Times New Roman"/>
          <w:sz w:val="25"/>
        </w:rPr>
        <w:t>:</w:t>
      </w:r>
    </w:p>
    <w:p>
      <w:pPr>
        <w:pStyle w:val="BodyText"/>
        <w:spacing w:line="288" w:lineRule="auto" w:before="216"/>
        <w:ind w:left="901" w:right="134"/>
      </w:pPr>
      <w:r>
        <w:rPr>
          <w:w w:val="105"/>
        </w:rPr>
        <w:t>Cabinet de Bruno Le Maire Cabinet d'Alain Griset</w:t>
      </w:r>
    </w:p>
    <w:p>
      <w:pPr>
        <w:pStyle w:val="BodyText"/>
        <w:spacing w:before="12"/>
        <w:ind w:left="901"/>
      </w:pPr>
      <w:r>
        <w:rPr>
          <w:w w:val="105"/>
        </w:rPr>
        <w:t>Cabinet de Jean-Baptiste Lemoyne</w:t>
      </w:r>
    </w:p>
    <w:p>
      <w:pPr>
        <w:pStyle w:val="BodyText"/>
        <w:rPr>
          <w:sz w:val="24"/>
        </w:rPr>
      </w:pPr>
      <w:r>
        <w:rPr/>
        <w:br w:type="column"/>
      </w:r>
      <w:r>
        <w:rPr>
          <w:sz w:val="24"/>
        </w:rPr>
      </w:r>
    </w:p>
    <w:p>
      <w:pPr>
        <w:pStyle w:val="BodyText"/>
        <w:rPr>
          <w:sz w:val="24"/>
        </w:rPr>
      </w:pPr>
    </w:p>
    <w:p>
      <w:pPr>
        <w:pStyle w:val="BodyText"/>
        <w:spacing w:line="295" w:lineRule="auto" w:before="202"/>
        <w:ind w:left="548" w:right="1424"/>
      </w:pPr>
      <w:hyperlink r:id="rId8">
        <w:r>
          <w:rPr>
            <w:color w:val="0000FF"/>
            <w:w w:val="105"/>
            <w:u w:val="thick" w:color="0000FF"/>
          </w:rPr>
          <w:t>presse.mineco@cabinets.finances.gouv.fr</w:t>
        </w:r>
      </w:hyperlink>
      <w:r>
        <w:rPr>
          <w:color w:val="0000FF"/>
          <w:w w:val="105"/>
        </w:rPr>
        <w:t> </w:t>
      </w:r>
      <w:hyperlink r:id="rId9">
        <w:r>
          <w:rPr>
            <w:color w:val="0000FF"/>
            <w:w w:val="105"/>
            <w:u w:val="thick" w:color="0000FF"/>
          </w:rPr>
          <w:t>presse.pme@ca bi nets.fi nances.gouv.fr</w:t>
        </w:r>
      </w:hyperlink>
      <w:r>
        <w:rPr>
          <w:color w:val="0000FF"/>
          <w:w w:val="105"/>
        </w:rPr>
        <w:t> </w:t>
      </w:r>
      <w:hyperlink r:id="rId10">
        <w:r>
          <w:rPr>
            <w:color w:val="0000FF"/>
            <w:w w:val="105"/>
            <w:u w:val="thick" w:color="0000FF"/>
          </w:rPr>
          <w:t>sec-presse.se@diplomatie.gouv.fr</w:t>
        </w:r>
      </w:hyperlink>
    </w:p>
    <w:sectPr>
      <w:type w:val="continuous"/>
      <w:pgSz w:w="11910" w:h="16840"/>
      <w:pgMar w:top="640" w:bottom="280" w:left="520" w:right="420"/>
      <w:cols w:num="2" w:equalWidth="0">
        <w:col w:w="4573" w:space="40"/>
        <w:col w:w="63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9" w:hanging="385"/>
      </w:pPr>
      <w:rPr>
        <w:rFonts w:hint="default" w:ascii="Arial" w:hAnsi="Arial" w:eastAsia="Arial" w:cs="Arial"/>
        <w:color w:val="050593"/>
        <w:w w:val="76"/>
        <w:sz w:val="54"/>
        <w:szCs w:val="54"/>
        <w:lang w:val="fr-FR" w:eastAsia="en-US" w:bidi="ar-SA"/>
      </w:rPr>
    </w:lvl>
    <w:lvl w:ilvl="1">
      <w:start w:val="0"/>
      <w:numFmt w:val="bullet"/>
      <w:lvlText w:val="•"/>
      <w:lvlJc w:val="left"/>
      <w:pPr>
        <w:ind w:left="680" w:hanging="385"/>
      </w:pPr>
      <w:rPr>
        <w:rFonts w:hint="default"/>
        <w:lang w:val="fr-FR" w:eastAsia="en-US" w:bidi="ar-SA"/>
      </w:rPr>
    </w:lvl>
    <w:lvl w:ilvl="2">
      <w:start w:val="0"/>
      <w:numFmt w:val="bullet"/>
      <w:lvlText w:val="•"/>
      <w:lvlJc w:val="left"/>
      <w:pPr>
        <w:ind w:left="860" w:hanging="385"/>
      </w:pPr>
      <w:rPr>
        <w:rFonts w:hint="default"/>
        <w:lang w:val="fr-FR" w:eastAsia="en-US" w:bidi="ar-SA"/>
      </w:rPr>
    </w:lvl>
    <w:lvl w:ilvl="3">
      <w:start w:val="0"/>
      <w:numFmt w:val="bullet"/>
      <w:lvlText w:val="•"/>
      <w:lvlJc w:val="left"/>
      <w:pPr>
        <w:ind w:left="1040" w:hanging="385"/>
      </w:pPr>
      <w:rPr>
        <w:rFonts w:hint="default"/>
        <w:lang w:val="fr-FR" w:eastAsia="en-US" w:bidi="ar-SA"/>
      </w:rPr>
    </w:lvl>
    <w:lvl w:ilvl="4">
      <w:start w:val="0"/>
      <w:numFmt w:val="bullet"/>
      <w:lvlText w:val="•"/>
      <w:lvlJc w:val="left"/>
      <w:pPr>
        <w:ind w:left="1221" w:hanging="385"/>
      </w:pPr>
      <w:rPr>
        <w:rFonts w:hint="default"/>
        <w:lang w:val="fr-FR" w:eastAsia="en-US" w:bidi="ar-SA"/>
      </w:rPr>
    </w:lvl>
    <w:lvl w:ilvl="5">
      <w:start w:val="0"/>
      <w:numFmt w:val="bullet"/>
      <w:lvlText w:val="•"/>
      <w:lvlJc w:val="left"/>
      <w:pPr>
        <w:ind w:left="1401" w:hanging="385"/>
      </w:pPr>
      <w:rPr>
        <w:rFonts w:hint="default"/>
        <w:lang w:val="fr-FR" w:eastAsia="en-US" w:bidi="ar-SA"/>
      </w:rPr>
    </w:lvl>
    <w:lvl w:ilvl="6">
      <w:start w:val="0"/>
      <w:numFmt w:val="bullet"/>
      <w:lvlText w:val="•"/>
      <w:lvlJc w:val="left"/>
      <w:pPr>
        <w:ind w:left="1581" w:hanging="385"/>
      </w:pPr>
      <w:rPr>
        <w:rFonts w:hint="default"/>
        <w:lang w:val="fr-FR" w:eastAsia="en-US" w:bidi="ar-SA"/>
      </w:rPr>
    </w:lvl>
    <w:lvl w:ilvl="7">
      <w:start w:val="0"/>
      <w:numFmt w:val="bullet"/>
      <w:lvlText w:val="•"/>
      <w:lvlJc w:val="left"/>
      <w:pPr>
        <w:ind w:left="1762" w:hanging="385"/>
      </w:pPr>
      <w:rPr>
        <w:rFonts w:hint="default"/>
        <w:lang w:val="fr-FR" w:eastAsia="en-US" w:bidi="ar-SA"/>
      </w:rPr>
    </w:lvl>
    <w:lvl w:ilvl="8">
      <w:start w:val="0"/>
      <w:numFmt w:val="bullet"/>
      <w:lvlText w:val="•"/>
      <w:lvlJc w:val="left"/>
      <w:pPr>
        <w:ind w:left="1942" w:hanging="385"/>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Title" w:type="paragraph">
    <w:name w:val="Title"/>
    <w:basedOn w:val="Normal"/>
    <w:uiPriority w:val="1"/>
    <w:qFormat/>
    <w:pPr>
      <w:spacing w:line="542" w:lineRule="exact"/>
    </w:pPr>
    <w:rPr>
      <w:rFonts w:ascii="Arial" w:hAnsi="Arial" w:eastAsia="Arial" w:cs="Arial"/>
      <w:sz w:val="48"/>
      <w:szCs w:val="48"/>
      <w:lang w:val="fr-FR" w:eastAsia="en-US" w:bidi="ar-SA"/>
    </w:rPr>
  </w:style>
  <w:style w:styleId="ListParagraph" w:type="paragraph">
    <w:name w:val="List Paragraph"/>
    <w:basedOn w:val="Normal"/>
    <w:uiPriority w:val="1"/>
    <w:qFormat/>
    <w:pPr>
      <w:spacing w:before="55" w:line="576" w:lineRule="exact"/>
      <w:ind w:left="499" w:hanging="386"/>
    </w:pPr>
    <w:rPr>
      <w:rFonts w:ascii="Times New Roman" w:hAnsi="Times New Roman" w:eastAsia="Times New Roman" w:cs="Times New Roman"/>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presse.mineco@cabinets.finances.gouv.fr" TargetMode="External"/><Relationship Id="rId9" Type="http://schemas.openxmlformats.org/officeDocument/2006/relationships/hyperlink" Target="mailto:presse.pme@cabinets.finances.gouv.fr" TargetMode="External"/><Relationship Id="rId10" Type="http://schemas.openxmlformats.org/officeDocument/2006/relationships/hyperlink" Target="mailto:sec-presse.se@diplomatie.gouv.f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Ophélie ROTA</dc:creator>
  <dcterms:created xsi:type="dcterms:W3CDTF">2020-11-29T16:54:33Z</dcterms:created>
  <dcterms:modified xsi:type="dcterms:W3CDTF">2020-11-29T16:54:33Z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Microsoft® Word 2013</vt:lpwstr>
  </property>
  <property fmtid="{D5CDD505-2E9C-101B-9397-08002B2CF9AE}" pid="4" name="LastSaved">
    <vt:filetime>2020-11-29T00:00:00Z</vt:filetime>
  </property>
</Properties>
</file>